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 w:after="40"/>
        <w:jc w:val="center"/>
      </w:pPr>
      <w:r>
        <w:rPr>
          <w:rFonts w:ascii="Calibri" w:hAnsi="Calibri"/>
          <w:b/>
          <w:color w:val="D9A62E"/>
          <w:sz w:val="20"/>
        </w:rPr>
        <w:t>AUTHOR GUIDELINES</w:t>
      </w:r>
    </w:p>
    <w:p>
      <w:pPr>
        <w:pStyle w:val="Title"/>
        <w:spacing w:after="80"/>
        <w:jc w:val="center"/>
      </w:pPr>
      <w:r>
        <w:t>Instructions for Authors</w:t>
      </w:r>
    </w:p>
    <w:p>
      <w:pPr>
        <w:jc w:val="center"/>
      </w:pPr>
      <w:r>
        <w:rPr>
          <w:rFonts w:ascii="Calibri" w:hAnsi="Calibri"/>
          <w:color w:val="5B6570"/>
          <w:sz w:val="22"/>
        </w:rPr>
        <w:t>For all journals published by KSD Publications</w:t>
      </w:r>
    </w:p>
    <w:tbl>
      <w:tblPr>
        <w:tblW w:type="auto" w:w="0"/>
        <w:jc w:val="center"/>
        <w:tblLook w:firstColumn="1" w:firstRow="1" w:lastColumn="0" w:lastRow="0" w:noHBand="0" w:noVBand="1" w:val="04A0"/>
      </w:tblPr>
      <w:tblGrid>
        <w:gridCol w:w="9936"/>
      </w:tblGrid>
      <w:tr>
        <w:tc>
          <w:tcPr>
            <w:tcW w:type="dxa" w:w="9936"/>
            <w:shd w:fill="EEF4F9"/>
          </w:tcPr>
          <w:p>
            <w:pPr>
              <w:jc w:val="center"/>
            </w:pPr>
            <w:r>
              <w:rPr>
                <w:rFonts w:ascii="Calibri" w:hAnsi="Calibri"/>
                <w:b/>
                <w:color w:val="123B63"/>
                <w:sz w:val="18"/>
              </w:rPr>
              <w:t>OUR EIGHT JOURNALS</w:t>
            </w:r>
          </w:p>
          <w:p>
            <w:pPr>
              <w:spacing w:after="40"/>
              <w:jc w:val="center"/>
            </w:pPr>
            <w:r>
              <w:t>KSD Journal of Mathematics  •  KSD Journal of Physics  •  KSD Journal of Chemistry  •  KSD Journal of Life Sciences</w:t>
              <w:br/>
              <w:t>KSD Journal of Engineering and Technology  •  KSD Journal of Management and Commerce</w:t>
              <w:br/>
              <w:t>KSD Journal of Humanities  •  KSD Journal of Statistics and Operations Research</w:t>
            </w:r>
          </w:p>
        </w:tc>
      </w:tr>
    </w:tbl>
    <w:p>
      <w:pPr>
        <w:pStyle w:val="Heading1"/>
      </w:pPr>
      <w:r>
        <w:t>1. About KSD Publications</w:t>
      </w:r>
    </w:p>
    <w:p>
      <w:r>
        <w:t>KSD Publications is an academic publishing initiative supporting the dissemination of scholarly work in science, technology, mathematics, humanities and related fields. These guidelines describe the common submission and manuscript-preparation requirements for its journals. Authors must also ensure that the subject matter of a manuscript falls within the aims and scope of the selected journal.</w:t>
      </w:r>
    </w:p>
    <w:p>
      <w:pPr>
        <w:pStyle w:val="Heading1"/>
      </w:pPr>
      <w:r>
        <w:t>2. Selecting the Appropriate Journal</w:t>
      </w:r>
    </w:p>
    <w:p>
      <w:pPr>
        <w:pStyle w:val="ListBullet"/>
        <w:spacing w:after="60"/>
      </w:pPr>
      <w:r>
        <w:t>KSD Journal of Mathematics: Pure and applied mathematics, including analysis, algebra, topology, fixed point theory, metric spaces, differential equations and mathematical applications.</w:t>
      </w:r>
    </w:p>
    <w:p>
      <w:pPr>
        <w:pStyle w:val="ListBullet"/>
        <w:spacing w:after="60"/>
      </w:pPr>
      <w:r>
        <w:t>KSD Journal of Physics: Theoretical, experimental and applied physics, including mathematical and computational physics.</w:t>
      </w:r>
    </w:p>
    <w:p>
      <w:pPr>
        <w:pStyle w:val="ListBullet"/>
        <w:spacing w:after="60"/>
      </w:pPr>
      <w:r>
        <w:t>KSD Journal of Chemistry: Organic, inorganic, physical, analytical, computational and applied chemistry.</w:t>
      </w:r>
    </w:p>
    <w:p>
      <w:pPr>
        <w:pStyle w:val="ListBullet"/>
        <w:spacing w:after="60"/>
      </w:pPr>
      <w:r>
        <w:t>KSD Journal of Life Sciences: Biology, biotechnology, genetics, microbiology, ecology and interdisciplinary life sciences.</w:t>
      </w:r>
    </w:p>
    <w:p>
      <w:pPr>
        <w:pStyle w:val="ListBullet"/>
        <w:spacing w:after="60"/>
      </w:pPr>
      <w:r>
        <w:t>KSD Journal of Engineering and Technology: Engineering disciplines, computing, robotics, materials, energy and applied technologies.</w:t>
      </w:r>
    </w:p>
    <w:p>
      <w:pPr>
        <w:pStyle w:val="ListBullet"/>
        <w:spacing w:after="60"/>
      </w:pPr>
      <w:r>
        <w:t>KSD Journal of Management and Commerce: Management, commerce, finance, marketing, entrepreneurship and business studies.</w:t>
      </w:r>
    </w:p>
    <w:p>
      <w:pPr>
        <w:pStyle w:val="ListBullet"/>
        <w:spacing w:after="60"/>
      </w:pPr>
      <w:r>
        <w:t>KSD Journal of Humanities: Literature, languages, philosophy, history, culture, education and the arts.</w:t>
      </w:r>
    </w:p>
    <w:p>
      <w:pPr>
        <w:pStyle w:val="ListBullet"/>
        <w:spacing w:after="60"/>
      </w:pPr>
      <w:r>
        <w:t>KSD Journal of Statistics and Operations Research: Statistics, probability, data analysis, optimization, modelling and operations research.</w:t>
      </w:r>
    </w:p>
    <w:p>
      <w:r>
        <w:t>Authors should consult the relevant journal page for its current aims, scope and editorial information before submission.</w:t>
      </w:r>
    </w:p>
    <w:p>
      <w:pPr>
        <w:pStyle w:val="Heading1"/>
      </w:pPr>
      <w:r>
        <w:t>3. Types of Contributions</w:t>
      </w:r>
    </w:p>
    <w:p>
      <w:r>
        <w:t>Journals may consider original research articles, review articles, short communications, case studies, methodological papers and other scholarly contributions where appropriate to the journal’s scope. The suitability of a particular article type is determined by the relevant journal’s editorial team. If an article type is not listed on the journal page, authors should contact the journal before submission.</w:t>
      </w:r>
    </w:p>
    <w:p>
      <w:pPr>
        <w:pStyle w:val="Heading1"/>
      </w:pPr>
      <w:r>
        <w:t>4. Manuscript Preparation</w:t>
      </w:r>
    </w:p>
    <w:p>
      <w:r>
        <w:t>Authors are encouraged to prepare manuscripts using the relevant editable Microsoft Word template supplied by KSD Publications. Each journal has its own logo and journal-specific template. Use the template for the journal to which the manuscript is being submitted.</w:t>
      </w:r>
    </w:p>
    <w:p>
      <w:pPr>
        <w:pStyle w:val="ListBullet"/>
        <w:spacing w:after="60"/>
      </w:pPr>
      <w:r>
        <w:t>Submit the manuscript in an editable Microsoft Word format (.doc or .docx). A PDF copy may be included for reference but should not replace the editable manuscript.</w:t>
      </w:r>
    </w:p>
    <w:p>
      <w:pPr>
        <w:pStyle w:val="ListBullet"/>
        <w:spacing w:after="60"/>
      </w:pPr>
      <w:r>
        <w:t>Use a clear, concise and informative title. Provide the full names of all authors, institutional affiliations, and the email address of the corresponding author.</w:t>
      </w:r>
    </w:p>
    <w:p>
      <w:pPr>
        <w:pStyle w:val="ListBullet"/>
        <w:spacing w:after="60"/>
      </w:pPr>
      <w:r>
        <w:t>Include an abstract that briefly states the purpose, methods or approach, principal findings and conclusion. Add relevant keywords immediately after the abstract.</w:t>
      </w:r>
    </w:p>
    <w:p>
      <w:pPr>
        <w:pStyle w:val="ListBullet"/>
        <w:spacing w:after="60"/>
      </w:pPr>
      <w:r>
        <w:t>Organize the manuscript using clear numbered headings and subheadings. The section structure may vary according to the discipline and article type.</w:t>
      </w:r>
    </w:p>
    <w:p>
      <w:pPr>
        <w:pStyle w:val="ListBullet"/>
        <w:spacing w:after="60"/>
      </w:pPr>
      <w:r>
        <w:t>Define abbreviations and symbols at first use. Ensure that mathematical notation, equations, tables and figures are clear and consistently presented.</w:t>
      </w:r>
    </w:p>
    <w:p>
      <w:pPr>
        <w:pStyle w:val="ListBullet"/>
        <w:spacing w:after="60"/>
      </w:pPr>
      <w:r>
        <w:t>Number displayed equations consecutively where appropriate. Create equations using an equation editor rather than inserting screenshots of equations.</w:t>
      </w:r>
    </w:p>
    <w:p>
      <w:pPr>
        <w:pStyle w:val="ListBullet"/>
        <w:spacing w:after="60"/>
      </w:pPr>
      <w:r>
        <w:t>Number tables and figures separately. Give each a concise caption and refer to it in the manuscript text. Ensure that figures are legible and that the author has permission to reproduce third-party material.</w:t>
      </w:r>
    </w:p>
    <w:p>
      <w:pPr>
        <w:pStyle w:val="ListBullet"/>
        <w:spacing w:after="60"/>
      </w:pPr>
      <w:r>
        <w:t>Use consistent units, terminology, spelling and citation style throughout the manuscript.</w:t>
      </w:r>
    </w:p>
    <w:p>
      <w:pPr>
        <w:pStyle w:val="ListBullet"/>
        <w:spacing w:after="60"/>
      </w:pPr>
      <w:r>
        <w:t>Include acknowledgements, funding information, conflict-of-interest declarations, data availability statements and author contributions where applicable.</w:t>
      </w:r>
    </w:p>
    <w:p>
      <w:pPr>
        <w:pStyle w:val="ListBullet"/>
        <w:spacing w:after="60"/>
      </w:pPr>
      <w:r>
        <w:t>Check the manuscript for grammar, clarity, completeness and formatting before submission.</w:t>
      </w:r>
    </w:p>
    <w:p>
      <w:pPr>
        <w:pStyle w:val="Heading1"/>
      </w:pPr>
      <w:r>
        <w:t>5. Abstract and Keywords</w:t>
      </w:r>
    </w:p>
    <w:p>
      <w:r>
        <w:t>The abstract should be self-contained and should not contain unexplained abbreviations or unnecessary references. Authors should provide a small set of specific keywords that accurately represent the subject of the work. The appropriate abstract length and number of keywords may be specified by the individual journal; where no limit is stated, keep the abstract concise and the keywords focused.</w:t>
      </w:r>
    </w:p>
    <w:p>
      <w:pPr>
        <w:pStyle w:val="Heading1"/>
      </w:pPr>
      <w:r>
        <w:t>6. References and Citations</w:t>
      </w:r>
    </w:p>
    <w:p>
      <w:r>
        <w:t>Every work cited in the text must appear in the reference list, and every listed reference should be cited in the manuscript. Authors are responsible for the accuracy and completeness of all bibliographic details, including author names, title, journal or book title, year, volume, issue, page range and DOI or stable URL where available.</w:t>
      </w:r>
    </w:p>
    <w:p>
      <w:pPr>
        <w:pStyle w:val="ListBullet"/>
        <w:spacing w:after="60"/>
      </w:pPr>
      <w:r>
        <w:t>Use one consistent scholarly referencing style throughout the manuscript.</w:t>
      </w:r>
    </w:p>
    <w:p>
      <w:pPr>
        <w:pStyle w:val="ListBullet"/>
        <w:spacing w:after="60"/>
      </w:pPr>
      <w:r>
        <w:t>Check that citations are correctly matched to the reference list.</w:t>
      </w:r>
    </w:p>
    <w:p>
      <w:pPr>
        <w:pStyle w:val="ListBullet"/>
        <w:spacing w:after="60"/>
      </w:pPr>
      <w:r>
        <w:t>Cite original sources wherever possible and avoid citing sources that have not been consulted.</w:t>
      </w:r>
    </w:p>
    <w:p>
      <w:pPr>
        <w:pStyle w:val="ListBullet"/>
        <w:spacing w:after="60"/>
      </w:pPr>
      <w:r>
        <w:t>Do not fabricate references, DOIs, quotations or bibliographic information.</w:t>
      </w:r>
    </w:p>
    <w:p>
      <w:r>
        <w:t>If a journal’s website specifies a particular reference style, that journal-specific instruction takes precedence.</w:t>
      </w:r>
    </w:p>
    <w:p>
      <w:pPr>
        <w:pStyle w:val="Heading1"/>
      </w:pPr>
      <w:r>
        <w:t>7. Originality, Plagiarism and Duplicate Submission</w:t>
      </w:r>
    </w:p>
    <w:p>
      <w:r>
        <w:t>Submitted work must be original and must not infringe the rights of others. Manuscripts must not be under consideration by another journal while being evaluated by a KSD Publications journal. Authors must properly acknowledge and cite all sources, including text, data, figures, tables, images, software and ideas taken from other works.</w:t>
      </w:r>
    </w:p>
    <w:p>
      <w:pPr>
        <w:pStyle w:val="ListBullet"/>
        <w:spacing w:after="60"/>
      </w:pPr>
      <w:r>
        <w:t>Do not submit the same manuscript simultaneously to more than one journal.</w:t>
      </w:r>
    </w:p>
    <w:p>
      <w:pPr>
        <w:pStyle w:val="ListBullet"/>
        <w:spacing w:after="60"/>
      </w:pPr>
      <w:r>
        <w:t>Disclose any substantial overlap with the authors’ previously published or submitted work.</w:t>
      </w:r>
    </w:p>
    <w:p>
      <w:pPr>
        <w:pStyle w:val="ListBullet"/>
        <w:spacing w:after="60"/>
      </w:pPr>
      <w:r>
        <w:t>Obtain permission for copyrighted material where required and provide appropriate attribution.</w:t>
      </w:r>
    </w:p>
    <w:p>
      <w:pPr>
        <w:pStyle w:val="ListBullet"/>
        <w:spacing w:after="60"/>
      </w:pPr>
      <w:r>
        <w:t>Any use of generative AI or AI-assisted tools in preparing a manuscript should be disclosed where it has materially contributed to the research or manuscript content. AI tools must not be listed as authors; authors remain responsible for the accuracy, originality and integrity of the submission.</w:t>
      </w:r>
    </w:p>
    <w:p>
      <w:r>
        <w:t>KSD Publications may use similarity-checking tools and may request clarification or revisions. A similarity score alone does not determine whether plagiarism has occurred; editorial assessment considers the nature and source of the overlap.</w:t>
      </w:r>
    </w:p>
    <w:p>
      <w:pPr>
        <w:pStyle w:val="Heading1"/>
      </w:pPr>
      <w:r>
        <w:t>8. Authorship and Author Responsibilities</w:t>
      </w:r>
    </w:p>
    <w:p>
      <w:r>
        <w:t>All listed authors should have made a meaningful scholarly contribution, should approve the submitted version and should agree to its submission. The corresponding author is responsible for communicating with the journal and ensuring that all co-authors are aware of the submission and editorial correspondence.</w:t>
      </w:r>
    </w:p>
    <w:p>
      <w:pPr>
        <w:pStyle w:val="ListBullet"/>
        <w:spacing w:after="60"/>
      </w:pPr>
      <w:r>
        <w:t>Confirm that author names, order and affiliations are correct before submission.</w:t>
      </w:r>
    </w:p>
    <w:p>
      <w:pPr>
        <w:pStyle w:val="ListBullet"/>
        <w:spacing w:after="60"/>
      </w:pPr>
      <w:r>
        <w:t>Obtain approval from all co-authors before submitting the manuscript.</w:t>
      </w:r>
    </w:p>
    <w:p>
      <w:pPr>
        <w:pStyle w:val="ListBullet"/>
        <w:spacing w:after="60"/>
      </w:pPr>
      <w:r>
        <w:t>Disclose relevant funding, conflicts of interest and ethical approvals.</w:t>
      </w:r>
    </w:p>
    <w:p>
      <w:pPr>
        <w:pStyle w:val="ListBullet"/>
        <w:spacing w:after="60"/>
      </w:pPr>
      <w:r>
        <w:t>Respond accurately and respectfully to editorial and reviewer comments.</w:t>
      </w:r>
    </w:p>
    <w:p>
      <w:pPr>
        <w:pStyle w:val="ListBullet"/>
        <w:spacing w:after="60"/>
      </w:pPr>
      <w:r>
        <w:t>Notify the journal promptly if a significant error is discovered after submission or publication.</w:t>
      </w:r>
    </w:p>
    <w:p>
      <w:pPr>
        <w:pStyle w:val="Heading1"/>
      </w:pPr>
      <w:r>
        <w:t>9. Research Ethics and Permissions</w:t>
      </w:r>
    </w:p>
    <w:p>
      <w:r>
        <w:t>Research involving human participants, animals, personal data, clinical material or other regulated subjects must comply with applicable institutional and legal requirements. Where relevant, authors must state the name of the approving ethics committee or institutional review board and provide the approval reference. Authors must confirm that informed consent and permissions were obtained where required. The journal may request supporting documentation.</w:t>
      </w:r>
    </w:p>
    <w:p>
      <w:r>
        <w:t>Authors must not fabricate, falsify or selectively manipulate research data, images or results. Any image processing must not misrepresent the underlying data.</w:t>
      </w:r>
    </w:p>
    <w:p>
      <w:pPr>
        <w:pStyle w:val="Heading1"/>
      </w:pPr>
      <w:r>
        <w:t>10. Submission Procedure</w:t>
      </w:r>
    </w:p>
    <w:p>
      <w:pPr>
        <w:pStyle w:val="ListNumber"/>
        <w:spacing w:after="60"/>
      </w:pPr>
      <w:r>
        <w:t>Select the journal whose aims and scope best match the manuscript.</w:t>
      </w:r>
    </w:p>
    <w:p>
      <w:pPr>
        <w:pStyle w:val="ListNumber"/>
        <w:spacing w:after="60"/>
      </w:pPr>
      <w:r>
        <w:t>Download the correct journal-specific Word template and prepare the manuscript.</w:t>
      </w:r>
    </w:p>
    <w:p>
      <w:pPr>
        <w:pStyle w:val="ListNumber"/>
        <w:spacing w:after="60"/>
      </w:pPr>
      <w:r>
        <w:t>Check the manuscript for completeness, originality, author approval, references and required declarations.</w:t>
      </w:r>
    </w:p>
    <w:p>
      <w:pPr>
        <w:pStyle w:val="ListNumber"/>
        <w:spacing w:after="60"/>
      </w:pPr>
      <w:r>
        <w:t>Submit the manuscript through the official KSD Publications online submission form linked from the website.</w:t>
      </w:r>
    </w:p>
    <w:p>
      <w:pPr>
        <w:pStyle w:val="ListNumber"/>
        <w:spacing w:after="60"/>
      </w:pPr>
      <w:r>
        <w:t>Provide accurate metadata, including journal selection, manuscript title, author names, institution and corresponding-author email.</w:t>
      </w:r>
    </w:p>
    <w:p>
      <w:pPr>
        <w:pStyle w:val="ListNumber"/>
        <w:spacing w:after="60"/>
      </w:pPr>
      <w:r>
        <w:t>Upload the manuscript in an accepted file format and complete the author declaration in the submission form.</w:t>
      </w:r>
    </w:p>
    <w:p>
      <w:r>
        <w:t>The submission form may require the corresponding author to sign in to a Google account to upload a file. Follow the instructions shown on the live submission form. Authors should retain a copy of the submitted manuscript and submission confirmation.</w:t>
      </w:r>
    </w:p>
    <w:p>
      <w:pPr>
        <w:pStyle w:val="Heading1"/>
      </w:pPr>
      <w:r>
        <w:t>11. Peer Review and Editorial Decision</w:t>
      </w:r>
    </w:p>
    <w:p>
      <w:r>
        <w:t>Submitted manuscripts are subject to an initial editorial assessment for scope, completeness, presentation and suitability. Manuscripts considered suitable may be sent for peer review by independent reviewers. The editorial team may request revisions, reject a manuscript, or make another editorial decision based on the manuscript and the reviews.</w:t>
      </w:r>
    </w:p>
    <w:p>
      <w:r>
        <w:t>Acceptance is not guaranteed by submission, payment or any prior communication. Editorial decisions are based on scholarly quality, relevance, originality, research integrity and the journal’s editorial standards. Authors should address reviewer comments carefully and provide a clear response when submitting a revised manuscript.</w:t>
      </w:r>
    </w:p>
    <w:p>
      <w:r>
        <w:t>Review model, reviewer process and expected processing times should be checked on the relevant journal’s website. No fixed review or decision timeline is promised by these general guidelines.</w:t>
      </w:r>
    </w:p>
    <w:p>
      <w:pPr>
        <w:pStyle w:val="Heading1"/>
      </w:pPr>
      <w:r>
        <w:t>12. Publication Charges and Payment</w:t>
      </w:r>
    </w:p>
    <w:p>
      <w:r>
        <w:t>There is no submission fee. The article processing charge (APC) is payable only after formal acceptance of the manuscript.</w:t>
      </w:r>
    </w:p>
    <w:tbl>
      <w:tblPr>
        <w:tblW w:type="auto" w:w="0"/>
        <w:jc w:val="center"/>
        <w:tblLook w:firstColumn="1" w:firstRow="1" w:lastColumn="0" w:lastRow="0" w:noHBand="0" w:noVBand="1" w:val="04A0"/>
      </w:tblPr>
      <w:tblGrid>
        <w:gridCol w:w="3312"/>
        <w:gridCol w:w="3312"/>
        <w:gridCol w:w="3312"/>
      </w:tblGrid>
      <w:tr>
        <w:tc>
          <w:tcPr>
            <w:tcW w:type="dxa" w:w="3312"/>
            <w:shd w:fill="123B63"/>
          </w:tcPr>
          <w:p>
            <w:pPr>
              <w:jc w:val="center"/>
            </w:pPr>
            <w:r>
              <w:rPr>
                <w:rFonts w:ascii="Calibri" w:hAnsi="Calibri"/>
                <w:b/>
                <w:color w:val="FFFFFF"/>
                <w:sz w:val="17"/>
              </w:rPr>
              <w:t>Author category</w:t>
            </w:r>
          </w:p>
        </w:tc>
        <w:tc>
          <w:tcPr>
            <w:tcW w:type="dxa" w:w="3312"/>
            <w:shd w:fill="123B63"/>
          </w:tcPr>
          <w:p>
            <w:pPr>
              <w:jc w:val="center"/>
            </w:pPr>
            <w:r>
              <w:rPr>
                <w:rFonts w:ascii="Calibri" w:hAnsi="Calibri"/>
                <w:b/>
                <w:color w:val="FFFFFF"/>
                <w:sz w:val="17"/>
              </w:rPr>
              <w:t>Standard APC</w:t>
            </w:r>
          </w:p>
        </w:tc>
        <w:tc>
          <w:tcPr>
            <w:tcW w:type="dxa" w:w="3312"/>
            <w:shd w:fill="123B63"/>
          </w:tcPr>
          <w:p>
            <w:pPr>
              <w:jc w:val="center"/>
            </w:pPr>
            <w:r>
              <w:rPr>
                <w:rFonts w:ascii="Calibri" w:hAnsi="Calibri"/>
                <w:b/>
                <w:color w:val="FFFFFF"/>
                <w:sz w:val="17"/>
              </w:rPr>
              <w:t>Promotional APC*</w:t>
            </w:r>
          </w:p>
        </w:tc>
      </w:tr>
      <w:tr>
        <w:tc>
          <w:tcPr>
            <w:tcW w:type="dxa" w:w="3312"/>
            <w:vAlign w:val="center"/>
            <w:shd w:fill="EEF4F9"/>
          </w:tcPr>
          <w:p>
            <w:pPr>
              <w:jc w:val="center"/>
            </w:pPr>
            <w:r>
              <w:rPr>
                <w:rFonts w:ascii="Calibri" w:hAnsi="Calibri"/>
                <w:sz w:val="18"/>
              </w:rPr>
              <w:t>Indian corresponding author</w:t>
            </w:r>
          </w:p>
        </w:tc>
        <w:tc>
          <w:tcPr>
            <w:tcW w:type="dxa" w:w="3312"/>
            <w:vAlign w:val="center"/>
            <w:shd w:fill="EEF4F9"/>
          </w:tcPr>
          <w:p>
            <w:pPr>
              <w:jc w:val="center"/>
            </w:pPr>
            <w:r>
              <w:rPr>
                <w:rFonts w:ascii="Calibri" w:hAnsi="Calibri"/>
                <w:sz w:val="18"/>
              </w:rPr>
              <w:t>₹1,500</w:t>
            </w:r>
          </w:p>
        </w:tc>
        <w:tc>
          <w:tcPr>
            <w:tcW w:type="dxa" w:w="3312"/>
            <w:vAlign w:val="center"/>
            <w:shd w:fill="EEF4F9"/>
          </w:tcPr>
          <w:p>
            <w:pPr>
              <w:jc w:val="center"/>
            </w:pPr>
            <w:r>
              <w:rPr>
                <w:rFonts w:ascii="Calibri" w:hAnsi="Calibri"/>
                <w:sz w:val="18"/>
              </w:rPr>
              <w:t>₹800</w:t>
            </w:r>
          </w:p>
        </w:tc>
      </w:tr>
      <w:tr>
        <w:tc>
          <w:tcPr>
            <w:tcW w:type="dxa" w:w="3312"/>
            <w:vAlign w:val="center"/>
          </w:tcPr>
          <w:p>
            <w:pPr>
              <w:jc w:val="center"/>
            </w:pPr>
            <w:r>
              <w:rPr>
                <w:rFonts w:ascii="Calibri" w:hAnsi="Calibri"/>
                <w:sz w:val="18"/>
              </w:rPr>
              <w:t>International corresponding author outside India</w:t>
            </w:r>
          </w:p>
        </w:tc>
        <w:tc>
          <w:tcPr>
            <w:tcW w:type="dxa" w:w="3312"/>
            <w:vAlign w:val="center"/>
          </w:tcPr>
          <w:p>
            <w:pPr>
              <w:jc w:val="center"/>
            </w:pPr>
            <w:r>
              <w:rPr>
                <w:rFonts w:ascii="Calibri" w:hAnsi="Calibri"/>
                <w:sz w:val="18"/>
              </w:rPr>
              <w:t>US$50</w:t>
            </w:r>
          </w:p>
        </w:tc>
        <w:tc>
          <w:tcPr>
            <w:tcW w:type="dxa" w:w="3312"/>
            <w:vAlign w:val="center"/>
          </w:tcPr>
          <w:p>
            <w:pPr>
              <w:jc w:val="center"/>
            </w:pPr>
            <w:r>
              <w:rPr>
                <w:rFonts w:ascii="Calibri" w:hAnsi="Calibri"/>
                <w:sz w:val="18"/>
              </w:rPr>
              <w:t>US$30</w:t>
            </w:r>
          </w:p>
        </w:tc>
      </w:tr>
    </w:tbl>
    <w:p>
      <w:pPr>
        <w:spacing w:before="80"/>
      </w:pPr>
      <w:r>
        <w:rPr>
          <w:color w:val="5B6570"/>
          <w:sz w:val="17"/>
        </w:rPr>
        <w:t>*Promotional APC applies to complete manuscripts submitted on or before 31 December 2026. The applicable promotional rate is determined by the original submission date, even if the manuscript is accepted or published later.</w:t>
      </w:r>
    </w:p>
    <w:p>
      <w:pPr>
        <w:pStyle w:val="ListBullet"/>
        <w:spacing w:after="60"/>
      </w:pPr>
      <w:r>
        <w:t>Payment is requested only after formal acceptance.</w:t>
      </w:r>
    </w:p>
    <w:p>
      <w:pPr>
        <w:pStyle w:val="ListBullet"/>
        <w:spacing w:after="60"/>
      </w:pPr>
      <w:r>
        <w:t>Payment does not guarantee acceptance or publication and does not influence editorial decisions.</w:t>
      </w:r>
    </w:p>
    <w:p>
      <w:pPr>
        <w:pStyle w:val="ListBullet"/>
        <w:spacing w:after="60"/>
      </w:pPr>
      <w:r>
        <w:t>Authors should use only the payment instructions officially communicated by KSD Publications after acceptance.</w:t>
      </w:r>
    </w:p>
    <w:p>
      <w:r>
        <w:t>Authors should consult the central APC / Publication Charges policy on the KSD Publications website for the latest applicable terms. Any journal-specific notice officially published on the website should also be checked before payment.</w:t>
      </w:r>
    </w:p>
    <w:p>
      <w:pPr>
        <w:pStyle w:val="Heading1"/>
      </w:pPr>
      <w:r>
        <w:t>13. Copyright, Licensing and Publication</w:t>
      </w:r>
    </w:p>
    <w:p>
      <w:r>
        <w:t>Authors must ensure that they have the right to submit and publish the work and that all co-authors agree to the publication arrangements. Any copyright transfer, licence, author agreement or publication consent required by the journal must be completed using the current official form supplied by KSD Publications. Authors should read the applicable agreement carefully before signing. The applicable copyright and reuse terms are those stated in the journal’s current published policy and signed agreement.</w:t>
      </w:r>
    </w:p>
    <w:p>
      <w:pPr>
        <w:pStyle w:val="Heading1"/>
      </w:pPr>
      <w:r>
        <w:t>14. Corrections, Retractions and Complaints</w:t>
      </w:r>
    </w:p>
    <w:p>
      <w:r>
        <w:t>Authors should inform the journal promptly if they identify a material error in a submitted or published article. The editorial team will assess requests for corrections, expressions of concern or retractions in accordance with the journal’s applicable editorial and publication-ethics policies. Complaints or appeals should be submitted in writing to the journal, with the manuscript title, submission details and a clear explanation of the concern.</w:t>
      </w:r>
    </w:p>
    <w:p>
      <w:pPr>
        <w:pStyle w:val="Heading1"/>
      </w:pPr>
      <w:r>
        <w:t>15. Submission Checklist</w:t>
      </w:r>
    </w:p>
    <w:p>
      <w:pPr>
        <w:pStyle w:val="ListBullet"/>
        <w:spacing w:after="40"/>
      </w:pPr>
      <w:r>
        <w:t>☐  The manuscript fits the selected journal’s aims and scope.</w:t>
      </w:r>
    </w:p>
    <w:p>
      <w:pPr>
        <w:pStyle w:val="ListBullet"/>
        <w:spacing w:after="40"/>
      </w:pPr>
      <w:r>
        <w:t>☐  The correct journal-specific Word template and logo have been used.</w:t>
      </w:r>
    </w:p>
    <w:p>
      <w:pPr>
        <w:pStyle w:val="ListBullet"/>
        <w:spacing w:after="40"/>
      </w:pPr>
      <w:r>
        <w:t>☐  The title, author names, affiliations and corresponding-author email are complete and accurate.</w:t>
      </w:r>
    </w:p>
    <w:p>
      <w:pPr>
        <w:pStyle w:val="ListBullet"/>
        <w:spacing w:after="40"/>
      </w:pPr>
      <w:r>
        <w:t>☐  Abstract and keywords are included.</w:t>
      </w:r>
    </w:p>
    <w:p>
      <w:pPr>
        <w:pStyle w:val="ListBullet"/>
        <w:spacing w:after="40"/>
      </w:pPr>
      <w:r>
        <w:t>☐  Equations, tables, figures and captions are readable and correctly numbered where applicable.</w:t>
      </w:r>
    </w:p>
    <w:p>
      <w:pPr>
        <w:pStyle w:val="ListBullet"/>
        <w:spacing w:after="40"/>
      </w:pPr>
      <w:r>
        <w:t>☐  All in-text citations match the reference list.</w:t>
      </w:r>
    </w:p>
    <w:p>
      <w:pPr>
        <w:pStyle w:val="ListBullet"/>
        <w:spacing w:after="40"/>
      </w:pPr>
      <w:r>
        <w:t>☐  The manuscript is original and is not under consideration elsewhere.</w:t>
      </w:r>
    </w:p>
    <w:p>
      <w:pPr>
        <w:pStyle w:val="ListBullet"/>
        <w:spacing w:after="40"/>
      </w:pPr>
      <w:r>
        <w:t>☐  All authors have approved the manuscript and its submission.</w:t>
      </w:r>
    </w:p>
    <w:p>
      <w:pPr>
        <w:pStyle w:val="ListBullet"/>
        <w:spacing w:after="40"/>
      </w:pPr>
      <w:r>
        <w:t>☐  Ethics approval, consent and permissions are included where required.</w:t>
      </w:r>
    </w:p>
    <w:p>
      <w:pPr>
        <w:pStyle w:val="ListBullet"/>
        <w:spacing w:after="40"/>
      </w:pPr>
      <w:r>
        <w:t>☐  Funding, conflicts of interest, data availability and author contributions are stated where applicable.</w:t>
      </w:r>
    </w:p>
    <w:p>
      <w:pPr>
        <w:pStyle w:val="ListBullet"/>
        <w:spacing w:after="40"/>
      </w:pPr>
      <w:r>
        <w:t>☐  The manuscript file is editable and the online submission form has been completed.</w:t>
      </w:r>
    </w:p>
    <w:p>
      <w:pPr>
        <w:pStyle w:val="Heading1"/>
      </w:pPr>
      <w:r>
        <w:t>16. Contact and Important Notice</w:t>
      </w:r>
    </w:p>
    <w:p>
      <w:r>
        <w:t>Publisher: KSD Publications</w:t>
        <w:br/>
        <w:t>Email: ksd10jan@gmail.com</w:t>
        <w:br/>
        <w:t>Website: https://young-credit-3c67.ksd10jan.workers.dev</w:t>
      </w:r>
    </w:p>
    <w:tbl>
      <w:tblPr>
        <w:tblW w:type="auto" w:w="0"/>
        <w:tblLook w:firstColumn="1" w:firstRow="1" w:lastColumn="0" w:lastRow="0" w:noHBand="0" w:noVBand="1" w:val="04A0"/>
      </w:tblPr>
      <w:tblGrid>
        <w:gridCol w:w="9936"/>
      </w:tblGrid>
      <w:tr>
        <w:tc>
          <w:tcPr>
            <w:tcW w:type="dxa" w:w="9936"/>
            <w:shd w:fill="FFF5D9"/>
          </w:tcPr>
          <w:p>
            <w:pPr>
              <w:jc w:val="center"/>
            </w:pPr>
            <w:r>
              <w:rPr>
                <w:rFonts w:ascii="Calibri" w:hAnsi="Calibri"/>
                <w:b/>
                <w:color w:val="123B63"/>
                <w:sz w:val="18"/>
              </w:rPr>
              <w:t>IMPORTANT</w:t>
            </w:r>
          </w:p>
          <w:p>
            <w:r>
              <w:t>These are common author guidelines for the KSD Publications journal portfolio. Authors must also read the selected journal’s current aims and scope, peer-review policy, publication ethics policy, copyright/licensing terms and APC policy on the official website. Where a journal-specific instruction differs from this general document, the current journal-specific instruction applies.</w:t>
            </w:r>
          </w:p>
        </w:tc>
      </w:tr>
    </w:tbl>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5B6570"/>
        <w:sz w:val="16"/>
      </w:rPr>
      <w:t xml:space="preserve">KSD Publications  •  Author Guidelines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D9A62E"/>
      </w:pBdr>
    </w:pPr>
    <w:r>
      <w:rPr>
        <w:rFonts w:ascii="Cambria" w:hAnsi="Cambria"/>
        <w:b/>
        <w:color w:val="123B63"/>
        <w:sz w:val="30"/>
      </w:rPr>
      <w:t>KSD PUBLICATIONS</w:t>
    </w:r>
    <w:r>
      <w:rPr>
        <w:rFonts w:ascii="Calibri" w:hAnsi="Calibri"/>
        <w:color w:val="5B6570"/>
        <w:sz w:val="16"/>
      </w:rPr>
      <w:t xml:space="preserve">  |  Academic Publishing for Science, Technology and Humanities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23B63"/>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mbria" w:hAnsi="Cambria"/>
      <w:b/>
      <w:bCs/>
      <w:color w:val="1F5D8F"/>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23B6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KSD Publications - Final Author Guidelines</dc:title>
  <dc:subject>Author instructions for the eight KSD Publications journals</dc:subject>
  <dc:creator>KSD Publications</dc:creator>
  <cp:keywords/>
  <dc:description>generated by python-docx</dc:description>
  <cp:lastModifiedBy/>
  <cp:revision>1</cp:revision>
  <dcterms:created xsi:type="dcterms:W3CDTF">2013-12-23T23:15:00Z</dcterms:created>
  <dcterms:modified xsi:type="dcterms:W3CDTF">2013-12-23T23:15:00Z</dcterms:modified>
  <cp:category/>
</cp:coreProperties>
</file>